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博罗县石湾镇明月四路东侧地段  </w:t>
      </w:r>
      <w:bookmarkStart w:id="0" w:name="_GoBack"/>
      <w:bookmarkEnd w:id="0"/>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27616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博自然资（用地）挂字﹝2024﹞56号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一类工业用地兼容一类物流仓储用地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稻谷加工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主要规划新建丝苗米加工生产车间、稻谷烘干中心、丝苗米农耕文化馆、成立丝苗米研究院以及建设恒温仓储库   </w:t>
      </w:r>
      <w:r>
        <w:rPr>
          <w:rFonts w:hint="eastAsia" w:ascii="仿宋" w:hAnsi="仿宋" w:eastAsia="仿宋" w:cs="Arial"/>
          <w:color w:val="auto"/>
          <w:sz w:val="32"/>
          <w:szCs w:val="32"/>
          <w:u w:val="none"/>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1.64</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rPr>
        <w:t>万元/亩（人民币），项目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71779"/>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A77648"/>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ACB285A"/>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161D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A95"/>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02256D"/>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8E27B8"/>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3186</Words>
  <Characters>3317</Characters>
  <Lines>23</Lines>
  <Paragraphs>6</Paragraphs>
  <TotalTime>73</TotalTime>
  <ScaleCrop>false</ScaleCrop>
  <LinksUpToDate>false</LinksUpToDate>
  <CharactersWithSpaces>3570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2024-10-31T02:55:28Z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7CC450C6F77441B8A99B13BC1474B0E8_13</vt:lpwstr>
  </property>
</Properties>
</file>